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Bando Credito adesso 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Evolution</w:t>
      </w:r>
      <w:proofErr w:type="spellEnd"/>
    </w:p>
    <w:p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>Domande dal 18 maggio fino ad esaurimento risorse</w:t>
      </w:r>
    </w:p>
    <w:p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Credito adesso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evolution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rientra nel pacchetto di misure approvate per affrontare l’emergenza Coronavirus. </w:t>
      </w:r>
    </w:p>
    <w:p>
      <w:pPr>
        <w:jc w:val="both"/>
        <w:rPr>
          <w:rFonts w:cstheme="minorHAnsi"/>
          <w:color w:val="333333"/>
          <w:sz w:val="24"/>
          <w:szCs w:val="24"/>
          <w:shd w:val="clear" w:color="auto" w:fill="EEEEEE"/>
        </w:rPr>
      </w:pPr>
      <w:r>
        <w:rPr>
          <w:rFonts w:cstheme="minorHAnsi"/>
          <w:color w:val="333333"/>
          <w:sz w:val="24"/>
          <w:szCs w:val="24"/>
          <w:shd w:val="clear" w:color="auto" w:fill="EEEEEE"/>
        </w:rPr>
        <w:t xml:space="preserve">Credito Adesso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EEEEEE"/>
        </w:rPr>
        <w:t>Evolution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EEEEEE"/>
        </w:rPr>
        <w:t xml:space="preserve"> supporta il fabbisogno di capitale circolante delle imprese mediante l'erogazione, in compartecipazione con il sistema bancario ed il sistema dei confidi, di finanziamenti chirografari.</w:t>
      </w:r>
    </w:p>
    <w:p>
      <w:pPr>
        <w:jc w:val="both"/>
        <w:rPr>
          <w:rFonts w:cstheme="minorHAnsi"/>
          <w:color w:val="333333"/>
          <w:sz w:val="24"/>
          <w:szCs w:val="24"/>
          <w:shd w:val="clear" w:color="auto" w:fill="EEEEEE"/>
        </w:rPr>
      </w:pPr>
    </w:p>
    <w:p>
      <w:pPr>
        <w:jc w:val="both"/>
        <w:rPr>
          <w:rFonts w:cstheme="minorHAnsi"/>
          <w:b/>
          <w:color w:val="333333"/>
          <w:sz w:val="28"/>
          <w:szCs w:val="28"/>
          <w:shd w:val="clear" w:color="auto" w:fill="EEEEEE"/>
        </w:rPr>
      </w:pPr>
      <w:r>
        <w:rPr>
          <w:rFonts w:cstheme="minorHAnsi"/>
          <w:b/>
          <w:color w:val="333333"/>
          <w:sz w:val="28"/>
          <w:szCs w:val="28"/>
          <w:shd w:val="clear" w:color="auto" w:fill="EEEEEE"/>
        </w:rPr>
        <w:t>Chi può partecipare: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1. PMI e MID CAP:</w:t>
      </w:r>
    </w:p>
    <w:p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operative da almeno 24 mesi in Lombardia</w:t>
      </w:r>
    </w:p>
    <w:p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con una media dei ricavi tipici, risultante dagli ultimi due esercizi contabilmente chiusi, di almeno 300 mila euro</w:t>
      </w:r>
    </w:p>
    <w:p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appartenenti a uno dei settori elencati nell’avviso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2. LIBERI PROFESSIONISTI</w:t>
      </w:r>
    </w:p>
    <w:p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dotati di partita Iva da almeno 24 mesi;</w:t>
      </w:r>
    </w:p>
    <w:p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operanti in uno dei comuni della Lombardia;</w:t>
      </w:r>
    </w:p>
    <w:p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appartenenti ad uno dei settori di cui alla lettera M del codice ISTAT primario - ATECO 2007;</w:t>
      </w:r>
    </w:p>
    <w:p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con una media dei Ricavi Tipici, risultante dagli ultimi due esercizi contabilmente chiusi alla data di presentazione della domanda di partecipazione, di almeno Euro 72.000,00.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3. STUDI ASSOCIATI</w:t>
      </w:r>
    </w:p>
    <w:p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dotati di partita Iva da almeno 24 mesi;</w:t>
      </w:r>
    </w:p>
    <w:p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operanti in uno dei comuni della Lombardia;</w:t>
      </w:r>
    </w:p>
    <w:p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appartenenti ad uno dei settori di cui alla lettera M del codice ISTAT primario - ATECO 2007;</w:t>
      </w:r>
    </w:p>
    <w:p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con una media dei Ricavi Tipici, risultante dagli ultimi due esercizi contabilmente chiusi alla data di presentazione della domanda di partecipazione, pari ad almeno Euro 72.000,00.</w:t>
      </w:r>
    </w:p>
    <w:p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Risorse disponibili: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finanziamenti: 67 MLN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. euro di cui 33,5 milioni di euro di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it-IT"/>
        </w:rPr>
        <w:t>Finlombarda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 33,5 milioni di euro delle banche e dei Confidi convenzionati;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contributi in conto interessi: 7,353 MLN. di euro di risorse regionali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Caratteristiche dell’agevolazione: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lastRenderedPageBreak/>
        <w:t>L'intervento finanziario è costituito da un finanziamento chirografario e da un contributo in conto interessi.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L’importo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 del finanziamento è compreso tra </w:t>
      </w: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75 mila e 800 mila euro per le PMI, tra 100 mila e 1,5 milioni di euro per le MID CAP, tra 18 mila e 200 mila euro per professionisti e studi associati, e non oltre il 25% 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dalla media dei ricavi tipici risultante dagli ultimi due esercizi contabilmente chiusi alla data di presentazione della domanda;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La durata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 è compresa </w:t>
      </w: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tra 24 e 72 mesi 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(di cui preammortamento massimo di 24 mesi).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Il contributo in conto interessi 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abbinato al finanziamento è pari al </w:t>
      </w: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3%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 e comunque non superiore al tasso definito per il finanziamento sottostante. I contributi sono concessi in regime “de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it-IT"/>
        </w:rPr>
        <w:t>minimis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it-IT"/>
        </w:rPr>
        <w:t>”, salvo successivo inquadramento nel Quadro Temporaneo per le misure di aiuto di Stato a sostegno dell’economia nell’attuale emergenza del COVID-19.</w:t>
      </w:r>
    </w:p>
    <w:p>
      <w:pPr>
        <w:jc w:val="both"/>
        <w:rPr>
          <w:rFonts w:cstheme="minorHAnsi"/>
          <w:sz w:val="24"/>
          <w:szCs w:val="24"/>
        </w:rPr>
      </w:pPr>
    </w:p>
    <w:p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Come partecipare: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La domanda di partecipazione deve essere presentata esclusivamente per mezzo di Bandi on Line, accessibile all’indirizzo </w:t>
      </w:r>
      <w:hyperlink r:id="rId6" w:tgtFrame="_blank" w:history="1">
        <w:r>
          <w:rPr>
            <w:rFonts w:eastAsia="Times New Roman" w:cstheme="minorHAnsi"/>
            <w:color w:val="297A38"/>
            <w:sz w:val="24"/>
            <w:szCs w:val="24"/>
            <w:u w:val="single"/>
            <w:lang w:eastAsia="it-IT"/>
          </w:rPr>
          <w:t>www.bandi.servizirl.it</w:t>
        </w:r>
      </w:hyperlink>
      <w:r>
        <w:rPr>
          <w:rFonts w:eastAsia="Times New Roman" w:cstheme="minorHAnsi"/>
          <w:color w:val="333333"/>
          <w:sz w:val="24"/>
          <w:szCs w:val="24"/>
          <w:lang w:eastAsia="it-IT"/>
        </w:rPr>
        <w:t> a partire dalle </w:t>
      </w: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ore 10.30 del 18 maggio 2020 (ore 10.30)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 e fino a esaurimento delle risorse finanziarie disponibili.</w:t>
      </w:r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Si segnala che il convenzionamento con gli intermediari finanziari (banche e Confidi) è in corso: </w:t>
      </w:r>
      <w:hyperlink r:id="rId7" w:tgtFrame="_blank" w:history="1">
        <w:r>
          <w:rPr>
            <w:rFonts w:eastAsia="Times New Roman" w:cstheme="minorHAnsi"/>
            <w:color w:val="297A38"/>
            <w:sz w:val="24"/>
            <w:szCs w:val="24"/>
            <w:u w:val="single"/>
            <w:lang w:eastAsia="it-IT"/>
          </w:rPr>
          <w:t>avviso per gli intermediari finanziari</w:t>
        </w:r>
      </w:hyperlink>
    </w:p>
    <w:p>
      <w:pPr>
        <w:shd w:val="clear" w:color="auto" w:fill="EEEEE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Sarà possibile presentare domanda di partecipazione in presenza di almeno un intermediario finanziario convenzionato. L'elenco aggiornato delle banche e dei Confidi convenzionati sarà reso disponibile sul sito di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it-IT"/>
        </w:rPr>
        <w:t>Finlombarda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 nel box 'Documenti per le imprese': </w:t>
      </w:r>
      <w:hyperlink r:id="rId8" w:tgtFrame="_blank" w:history="1">
        <w:r>
          <w:rPr>
            <w:rFonts w:eastAsia="Times New Roman" w:cstheme="minorHAnsi"/>
            <w:color w:val="297A38"/>
            <w:sz w:val="24"/>
            <w:szCs w:val="24"/>
            <w:u w:val="single"/>
            <w:lang w:eastAsia="it-IT"/>
          </w:rPr>
          <w:t>http://www.finlombarda.it/finanziamentieservizi/creditoadessoevolution</w:t>
        </w:r>
      </w:hyperlink>
      <w:r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p>
      <w:pPr>
        <w:jc w:val="both"/>
        <w:rPr>
          <w:rFonts w:cstheme="minorHAnsi"/>
          <w:sz w:val="24"/>
          <w:szCs w:val="24"/>
        </w:rPr>
      </w:pPr>
    </w:p>
    <w:p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Procedura di selezione:</w:t>
      </w:r>
    </w:p>
    <w:p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La tipologia di procedura util</w:t>
      </w:r>
      <w:bookmarkStart w:id="0" w:name="_GoBack"/>
      <w:bookmarkEnd w:id="0"/>
      <w:r>
        <w:rPr>
          <w:rFonts w:eastAsia="Times New Roman" w:cstheme="minorHAnsi"/>
          <w:color w:val="333333"/>
          <w:sz w:val="24"/>
          <w:szCs w:val="24"/>
          <w:lang w:eastAsia="it-IT"/>
        </w:rPr>
        <w:t>izzata è</w:t>
      </w:r>
      <w:r>
        <w:rPr>
          <w:rFonts w:eastAsia="Times New Roman" w:cstheme="minorHAnsi"/>
          <w:bCs/>
          <w:color w:val="333333"/>
          <w:sz w:val="24"/>
          <w:szCs w:val="24"/>
          <w:lang w:eastAsia="it-IT"/>
        </w:rPr>
        <w:t> valutativa a sportello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: le istruttorie sono effettuate secondo l’ordine cronologico di protocollazione elettronica da parte di Bandi online.</w:t>
      </w:r>
    </w:p>
    <w:p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Le Domande in possesso dei requisiti di ammissibilità previsti e che superino l’istruttoria sono ammesse in base all’ordine cronologico di presentazione. Le imprese che dispongono del rating di legalità accederanno prioritariamente alla fase di istruttoria di merito da parte di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it-IT"/>
        </w:rPr>
        <w:t>Finlombarda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 prescindere dall’ordine cronologico di presentazione.</w:t>
      </w:r>
    </w:p>
    <w:p>
      <w:pPr>
        <w:rPr>
          <w:rFonts w:cstheme="minorHAnsi"/>
          <w:sz w:val="24"/>
          <w:szCs w:val="24"/>
        </w:rPr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671"/>
    <w:multiLevelType w:val="multilevel"/>
    <w:tmpl w:val="A8F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47508"/>
    <w:multiLevelType w:val="multilevel"/>
    <w:tmpl w:val="F5C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37EFA"/>
    <w:multiLevelType w:val="multilevel"/>
    <w:tmpl w:val="3150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D5FDF"/>
    <w:multiLevelType w:val="multilevel"/>
    <w:tmpl w:val="901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ombarda.it/finanziamentieservizi/creditoadessoevolu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nlombarda.it/c/document_library/get_file?p_l_id=35446139&amp;folderId=35453365&amp;name=DLFE-2885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di.servizirl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Bozza</dc:creator>
  <cp:lastModifiedBy>Matteo Bozza</cp:lastModifiedBy>
  <cp:revision>2</cp:revision>
  <dcterms:created xsi:type="dcterms:W3CDTF">2020-05-18T13:10:00Z</dcterms:created>
  <dcterms:modified xsi:type="dcterms:W3CDTF">2020-05-18T13:16:00Z</dcterms:modified>
</cp:coreProperties>
</file>